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09" w:rsidRDefault="00783609" w:rsidP="00783609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783609" w:rsidRDefault="00783609" w:rsidP="0078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09" w:rsidRDefault="00783609" w:rsidP="0078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1119</w:t>
      </w:r>
    </w:p>
    <w:p w:rsidR="00783609" w:rsidRDefault="00783609" w:rsidP="0078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3A0393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3A0393">
        <w:rPr>
          <w:rFonts w:ascii="Times New Roman" w:hAnsi="Times New Roman" w:cs="Times New Roman"/>
          <w:b/>
          <w:sz w:val="28"/>
          <w:szCs w:val="28"/>
        </w:rPr>
        <w:t>»</w:t>
      </w:r>
    </w:p>
    <w:p w:rsidR="00783609" w:rsidRDefault="00783609" w:rsidP="00783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393" w:rsidRDefault="003A0393" w:rsidP="003A0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3A0393" w:rsidRPr="009F620C" w:rsidRDefault="003A0393" w:rsidP="003A03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Pr="009F620C">
          <w:rPr>
            <w:rStyle w:val="a6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safronoff.o2016@yandex.ru</w:t>
        </w:r>
      </w:hyperlink>
    </w:p>
    <w:p w:rsidR="003A0393" w:rsidRPr="009F620C" w:rsidRDefault="003A0393" w:rsidP="003A03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620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установленными сроками</w:t>
      </w:r>
    </w:p>
    <w:p w:rsidR="00783609" w:rsidRDefault="00783609" w:rsidP="0078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609" w:rsidRDefault="00783609" w:rsidP="0078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tbl>
      <w:tblPr>
        <w:tblStyle w:val="a4"/>
        <w:tblW w:w="9606" w:type="dxa"/>
        <w:tblLook w:val="04A0"/>
      </w:tblPr>
      <w:tblGrid>
        <w:gridCol w:w="594"/>
        <w:gridCol w:w="2916"/>
        <w:gridCol w:w="6096"/>
      </w:tblGrid>
      <w:tr w:rsidR="00783609" w:rsidTr="003A039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09" w:rsidRDefault="00783609" w:rsidP="0055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3609" w:rsidRDefault="00783609" w:rsidP="0055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09" w:rsidRDefault="00783609" w:rsidP="0055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09" w:rsidRDefault="00783609" w:rsidP="0055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6531E" w:rsidRPr="003A0393" w:rsidTr="003A0393">
        <w:trPr>
          <w:trHeight w:val="13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1E" w:rsidRPr="003A0393" w:rsidRDefault="0076531E" w:rsidP="0076531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03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04.05- 08.05.2020</w:t>
            </w:r>
          </w:p>
        </w:tc>
      </w:tr>
      <w:tr w:rsidR="00783609" w:rsidTr="003A0393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09" w:rsidRPr="00952288" w:rsidRDefault="00783609" w:rsidP="00555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8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09" w:rsidRPr="00DE2269" w:rsidRDefault="00DE2269" w:rsidP="00555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69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ья как малая социальная группа.</w:t>
            </w:r>
            <w:r w:rsidRPr="00DE2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Семья и брак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09" w:rsidRPr="00DE2269" w:rsidRDefault="0076498A" w:rsidP="0055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"Семья как ячейка общества"</w:t>
            </w:r>
            <w:r w:rsidRPr="006B04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Доклад оформляется в папке со скоросшивателем и приносится в день выхода на занятия</w:t>
            </w:r>
          </w:p>
        </w:tc>
      </w:tr>
      <w:tr w:rsidR="0076531E" w:rsidRPr="003A0393" w:rsidTr="003A0393">
        <w:trPr>
          <w:trHeight w:val="15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31E" w:rsidRPr="003A0393" w:rsidRDefault="0076531E" w:rsidP="0076531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039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11.05- 16.05.2020</w:t>
            </w:r>
          </w:p>
        </w:tc>
      </w:tr>
      <w:tr w:rsidR="00783609" w:rsidTr="003A0393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09" w:rsidRPr="00952288" w:rsidRDefault="00783609" w:rsidP="00555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8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09" w:rsidRPr="00DE2269" w:rsidRDefault="00DE2269" w:rsidP="00555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269"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69" w:rsidRPr="00534B11" w:rsidRDefault="00DE2269" w:rsidP="00DE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(Составьте конспект)</w:t>
            </w:r>
          </w:p>
          <w:p w:rsidR="00DE2269" w:rsidRPr="00EB6F94" w:rsidRDefault="00DE2269" w:rsidP="00DE2269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демографическая ситуация в Российской Федерации в значительной степени обусловлена социально-экономическими процессами, происходившими в XX веке. Во второй половине прошлого века в Российской Федерации ежегодно рождались 2 - 2,5 млн. детей, умирали 1 - 1,5 млн. человек. Продолжительность жизни граждан постоянно увеличивалась и приближалась к показателям европейских стран. Средняя продолжительность жизни в 1990 - 1991 годах составляла 68 лет.</w:t>
            </w:r>
          </w:p>
          <w:p w:rsidR="00DE2269" w:rsidRPr="00EB6F94" w:rsidRDefault="00DE2269" w:rsidP="00DE2269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С 1992 года началось стабильное сокращение численности населения из-за превышения уровня смертности над уровнем рождаемости (естественная убыль населения). В течение последних 15 лет в России ежегодно умирали более 2 млн. человек, что в расчете на 1000 человек в 2 раза больше, чем в европейских странах и США, в 1,5 раза больше, чем в среднем в мире, а ежегодно рождались в этот период 1,2 - 1,5 млн. человек.</w:t>
            </w:r>
          </w:p>
          <w:p w:rsidR="00DE2269" w:rsidRPr="00EB6F94" w:rsidRDefault="00DE2269" w:rsidP="00DE2269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показателю ожидаемой продолжительности жизни населения, особенно мужчин, Россия все больше отстает от экономически развитых стран: в 2006 году ожидаемая продолжительность жизни в Российской Федерации составила в среднем 66,7 года, в том числе мужчин - 60,6 года, женщин - 73,1 года.</w:t>
            </w:r>
          </w:p>
          <w:p w:rsidR="00DE2269" w:rsidRPr="00EB6F94" w:rsidRDefault="00DE2269" w:rsidP="00DE2269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причиной низкой продолжительности жизни населения в Российской Федерации является высокая смертность граждан трудоспособного возраста. Из общего числа умерших почти треть составляют </w:t>
            </w:r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граждане трудоспособного возраста, около 80 процентов из них - мужчины. Смертность от заболеваний </w:t>
            </w:r>
            <w:proofErr w:type="spellStart"/>
            <w:proofErr w:type="gramStart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системы, составляющая 55 процентов смертности от всех причин, в России в 3 - 4 раза выше, чем в европейских странах. Среди причин смерти в трудоспособном возрасте значительную долю (более 30 процентов) составляют внешние причины - случайные отравления, самоубийства, убийства, транспортные происшествия, прочие несчастные случаи.</w:t>
            </w:r>
          </w:p>
          <w:p w:rsidR="00DE2269" w:rsidRPr="00EB6F94" w:rsidRDefault="00DE2269" w:rsidP="00DE2269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младенческой смертности, рассчитанный по действующей в Российской Федерации системе, несмотря на его снижение с 18 на 1000 родившихся живыми в 1992 году до 10,2 в 2006 году, примерно </w:t>
            </w:r>
            <w:proofErr w:type="gramStart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gramStart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раза</w:t>
            </w:r>
            <w:proofErr w:type="gramEnd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выше, чем в развитых европейских странах, Канаде и США (по расчетам в соответствии с рекомендациями Всемирной организации здравоохранения).</w:t>
            </w:r>
          </w:p>
          <w:p w:rsidR="00DE2269" w:rsidRPr="00EB6F94" w:rsidRDefault="00DE2269" w:rsidP="00DE2269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смертности обусловлен также высоким уровнем заболеваемости населения, распространенностью алкоголизма, наркомании, </w:t>
            </w:r>
            <w:proofErr w:type="spellStart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. Не созданы условия, побуждающие людей бережно относиться к собственному здоровью и здоровью своих детей. Недостаточно развиты формы досуга, способствующие ведению здорового образа жизни (физическая культура, спорт, туризм, активный отдых и другие).</w:t>
            </w:r>
          </w:p>
          <w:p w:rsidR="00DE2269" w:rsidRPr="00EB6F94" w:rsidRDefault="00DE2269" w:rsidP="00DE2269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gramStart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Начиная с 2000 года в Российской Федерации отмечается</w:t>
            </w:r>
            <w:proofErr w:type="gramEnd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 рождаемости. Вместе с тем уровень рождаемости пока еще недостаточен для обеспечения воспроизводства населения.</w:t>
            </w:r>
          </w:p>
          <w:p w:rsidR="00DE2269" w:rsidRPr="00EB6F94" w:rsidRDefault="00DE2269" w:rsidP="00DE2269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рождаемость отрицательно влияют: низкий денежный доход многих семей, отсутствие нормальных жилищных условий, современная структура семьи (ориентация на </w:t>
            </w:r>
            <w:proofErr w:type="spellStart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малодетность</w:t>
            </w:r>
            <w:proofErr w:type="spellEnd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, увеличение числа неполных семей), тяжелый физический труд значительной части работающих женщин (около 15 процентов), условия труда, не отвечающие санитарно-гигиеническим нормам, низкий уровень репродуктивного здоровья, высокое число прерываний беременности (абортов).</w:t>
            </w:r>
          </w:p>
          <w:p w:rsidR="00DE2269" w:rsidRPr="00EB6F94" w:rsidRDefault="00DE2269" w:rsidP="00DE2269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рождаемости ведет к демографическому старению населения. Если в 1992 году численность женщин в возрасте старше 55 лет и мужчин в возрасте старше 60 лет составляла 19,3 процента всего населения, то в 2006 году - 20,4 процента.</w:t>
            </w:r>
          </w:p>
          <w:p w:rsidR="00DE2269" w:rsidRPr="00EB6F94" w:rsidRDefault="00DE2269" w:rsidP="00DE2269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Наряду с общими демографическими тенденциями, характерными для Российской Федерации в целом, имеются значительные различия между регионами.</w:t>
            </w:r>
          </w:p>
          <w:p w:rsidR="00DE2269" w:rsidRPr="00EB6F94" w:rsidRDefault="00DE2269" w:rsidP="00DE2269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ряде субъектов Российской Федерации демографическая ситуация требует незамедлительного реагирования. За последние 15 лет более чем на 15 </w:t>
            </w:r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процентов сократилась численность населения в Республике Коми, Камчатском крае, Архангельской, Магаданской, Мурманской и Сахалинской областях. </w:t>
            </w:r>
            <w:proofErr w:type="gramStart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На 10 - 15 процентов сократилась численность населения в Республике Карелия, Республике Мордовия и Республике Саха (Якутия), Приморском и Хабаровском краях, Амурской, Владимирской, Ивановской, Кировской, Костромской, Курганской, Курской, Новгородской, Псковской, Рязанской, Смоленской, Тамбовской, Тверской, Тульской и Читинской областях.</w:t>
            </w:r>
            <w:proofErr w:type="gramEnd"/>
          </w:p>
          <w:p w:rsidR="00DE2269" w:rsidRPr="00EB6F94" w:rsidRDefault="00DE2269" w:rsidP="00DE2269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</w:rPr>
            </w:pPr>
            <w:proofErr w:type="gramStart"/>
            <w:r w:rsidRPr="00EB6F9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целей демографической политики Российской Федерации в значительной степени зависит от успешного решения широкого круга задач социально-экономического развития, включая обеспечение стабильного экономического роста и роста благосостояния населения, снижение уровня бедности и уменьшение дифференциации по доходам, интенсивное развитие человеческого капитала и создание эффективной социальной инфраструктуры (здравоохранение, образование, социальная защита населения), рынка доступного жилья, гибкого рынка труда, улучшение санитарно-эпидемиологической обстановки.</w:t>
            </w:r>
            <w:proofErr w:type="gramEnd"/>
          </w:p>
          <w:p w:rsidR="00DE2269" w:rsidRPr="00EB6F94" w:rsidRDefault="00B44EBF" w:rsidP="00DE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Конспект оформляется в рабочей тетради.</w:t>
            </w:r>
          </w:p>
          <w:p w:rsidR="00DE2269" w:rsidRPr="00EB6F94" w:rsidRDefault="00DE2269" w:rsidP="00DE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F94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и задания:</w:t>
            </w:r>
          </w:p>
          <w:p w:rsidR="00DE2269" w:rsidRDefault="00DE2269" w:rsidP="00DE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94">
              <w:rPr>
                <w:rFonts w:ascii="Times New Roman" w:hAnsi="Times New Roman" w:cs="Times New Roman"/>
                <w:sz w:val="24"/>
                <w:szCs w:val="24"/>
              </w:rPr>
              <w:t>1) Какова средняя продолжительность жизни в России в 2019 году?</w:t>
            </w:r>
          </w:p>
          <w:p w:rsidR="00DE2269" w:rsidRDefault="00DE2269" w:rsidP="00DE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B6F94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мужчин и женщин в России в 2019 году?</w:t>
            </w:r>
          </w:p>
          <w:p w:rsidR="00783609" w:rsidRPr="00952288" w:rsidRDefault="00DE2269" w:rsidP="003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Определите возрастной состав населения России в 2019 году (дети, трудоспособное население, пожилые люди)</w:t>
            </w:r>
          </w:p>
        </w:tc>
      </w:tr>
    </w:tbl>
    <w:p w:rsidR="00783609" w:rsidRDefault="00783609" w:rsidP="00783609">
      <w:pPr>
        <w:rPr>
          <w:rFonts w:ascii="Times New Roman" w:hAnsi="Times New Roman" w:cs="Times New Roman"/>
          <w:sz w:val="28"/>
          <w:szCs w:val="28"/>
        </w:rPr>
      </w:pPr>
    </w:p>
    <w:p w:rsidR="00783609" w:rsidRDefault="00783609" w:rsidP="00783609">
      <w:pPr>
        <w:rPr>
          <w:rFonts w:ascii="Times New Roman" w:hAnsi="Times New Roman" w:cs="Times New Roman"/>
          <w:sz w:val="28"/>
          <w:szCs w:val="28"/>
        </w:rPr>
      </w:pPr>
    </w:p>
    <w:p w:rsidR="00783609" w:rsidRDefault="00783609" w:rsidP="007836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proofErr w:type="spellStart"/>
      <w:r w:rsidR="003A039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Сафронова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83609" w:rsidRDefault="00783609" w:rsidP="00783609"/>
    <w:p w:rsidR="00783609" w:rsidRDefault="00783609" w:rsidP="00783609"/>
    <w:p w:rsidR="00783609" w:rsidRDefault="00783609" w:rsidP="00783609"/>
    <w:p w:rsidR="006C0776" w:rsidRDefault="006C0776"/>
    <w:sectPr w:rsidR="006C0776" w:rsidSect="002F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A61"/>
    <w:multiLevelType w:val="multilevel"/>
    <w:tmpl w:val="42FE9A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B270B"/>
    <w:multiLevelType w:val="multilevel"/>
    <w:tmpl w:val="2AD6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35DB9"/>
    <w:multiLevelType w:val="multilevel"/>
    <w:tmpl w:val="79D8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16C6E"/>
    <w:multiLevelType w:val="multilevel"/>
    <w:tmpl w:val="EF68F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A5AD6"/>
    <w:multiLevelType w:val="multilevel"/>
    <w:tmpl w:val="FB7C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E43E0"/>
    <w:multiLevelType w:val="multilevel"/>
    <w:tmpl w:val="32AA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C24ECA"/>
    <w:multiLevelType w:val="multilevel"/>
    <w:tmpl w:val="C16E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11BF0"/>
    <w:multiLevelType w:val="multilevel"/>
    <w:tmpl w:val="FB22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8167F"/>
    <w:multiLevelType w:val="multilevel"/>
    <w:tmpl w:val="9BA4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4140C7"/>
    <w:multiLevelType w:val="multilevel"/>
    <w:tmpl w:val="A576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76245"/>
    <w:multiLevelType w:val="multilevel"/>
    <w:tmpl w:val="73AE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241DF2"/>
    <w:multiLevelType w:val="multilevel"/>
    <w:tmpl w:val="2E82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102F7"/>
    <w:multiLevelType w:val="multilevel"/>
    <w:tmpl w:val="DE20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B03079"/>
    <w:multiLevelType w:val="multilevel"/>
    <w:tmpl w:val="4218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3609"/>
    <w:rsid w:val="002A1F19"/>
    <w:rsid w:val="003A0393"/>
    <w:rsid w:val="005D5CFF"/>
    <w:rsid w:val="006C0776"/>
    <w:rsid w:val="0076498A"/>
    <w:rsid w:val="0076531E"/>
    <w:rsid w:val="00783609"/>
    <w:rsid w:val="00B44EBF"/>
    <w:rsid w:val="00C20864"/>
    <w:rsid w:val="00D26A4E"/>
    <w:rsid w:val="00DC6519"/>
    <w:rsid w:val="00DE2269"/>
    <w:rsid w:val="00E6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783609"/>
  </w:style>
  <w:style w:type="table" w:styleId="a4">
    <w:name w:val="Table Grid"/>
    <w:basedOn w:val="a1"/>
    <w:uiPriority w:val="59"/>
    <w:rsid w:val="007836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83609"/>
    <w:rPr>
      <w:b/>
      <w:bCs/>
    </w:rPr>
  </w:style>
  <w:style w:type="character" w:styleId="a6">
    <w:name w:val="Hyperlink"/>
    <w:basedOn w:val="a0"/>
    <w:uiPriority w:val="99"/>
    <w:unhideWhenUsed/>
    <w:rsid w:val="003A0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fronoff.o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2020-04-26T11:20:00Z</dcterms:created>
  <dcterms:modified xsi:type="dcterms:W3CDTF">2020-04-26T11:20:00Z</dcterms:modified>
</cp:coreProperties>
</file>